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7462A1" w:rsidRPr="00450465" w:rsidTr="00966DFA">
        <w:tc>
          <w:tcPr>
            <w:tcW w:w="4500" w:type="dxa"/>
          </w:tcPr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БАШКОРТОСТАН РЕСПУБЛИКА</w:t>
            </w:r>
            <w:r w:rsidRPr="00450465">
              <w:rPr>
                <w:rFonts w:ascii="Times New Roman" w:hAnsi="Times New Roman"/>
                <w:lang w:val="be-BY"/>
              </w:rPr>
              <w:t>Һ</w:t>
            </w:r>
            <w:proofErr w:type="gramStart"/>
            <w:r w:rsidRPr="00450465">
              <w:rPr>
                <w:rFonts w:ascii="Times New Roman" w:hAnsi="Times New Roman"/>
              </w:rPr>
              <w:t>Ы</w:t>
            </w:r>
            <w:proofErr w:type="gramEnd"/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ИГЛИН РАЙОНЫ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МУНИЦИПАЛЬ  РАЙОН</w:t>
            </w:r>
            <w:r w:rsidRPr="00450465">
              <w:rPr>
                <w:rFonts w:ascii="Times New Roman" w:hAnsi="Times New Roman"/>
                <w:lang w:val="be-BY"/>
              </w:rPr>
              <w:t>ЫНЫҢ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ТУРБАСЛЫ АУЫЛ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 xml:space="preserve"> СОВЕТЫ АУЫЛ БИЛӘМӘҺЕ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 xml:space="preserve"> ХАКИМИӘТЕ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452414, Турбаслы ауылы, Узэк   урам, 40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тел. (34795) 2-71-99, факс 2-71-99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en-US"/>
              </w:rPr>
              <w:t>e</w:t>
            </w:r>
            <w:r w:rsidRPr="00450465">
              <w:rPr>
                <w:rFonts w:ascii="Times New Roman" w:hAnsi="Times New Roman"/>
                <w:lang w:val="be-BY"/>
              </w:rPr>
              <w:t>-</w:t>
            </w:r>
            <w:r w:rsidRPr="00450465">
              <w:rPr>
                <w:rFonts w:ascii="Times New Roman" w:hAnsi="Times New Roman"/>
                <w:lang w:val="en-US"/>
              </w:rPr>
              <w:t>mail</w:t>
            </w:r>
            <w:r w:rsidRPr="00450465">
              <w:rPr>
                <w:rFonts w:ascii="Times New Roman" w:hAnsi="Times New Roman"/>
                <w:lang w:val="be-BY"/>
              </w:rPr>
              <w:t>:</w:t>
            </w:r>
            <w:proofErr w:type="spellStart"/>
            <w:r w:rsidRPr="00450465">
              <w:rPr>
                <w:rFonts w:ascii="Times New Roman" w:hAnsi="Times New Roman"/>
                <w:lang w:val="en-US"/>
              </w:rPr>
              <w:t>turbasl</w:t>
            </w:r>
            <w:proofErr w:type="spellEnd"/>
            <w:r w:rsidRPr="00450465">
              <w:rPr>
                <w:rFonts w:ascii="Times New Roman" w:hAnsi="Times New Roman"/>
                <w:lang w:val="be-BY"/>
              </w:rPr>
              <w:t>_</w:t>
            </w:r>
            <w:proofErr w:type="spellStart"/>
            <w:r w:rsidRPr="00450465">
              <w:rPr>
                <w:rFonts w:ascii="Times New Roman" w:hAnsi="Times New Roman"/>
                <w:lang w:val="en-US"/>
              </w:rPr>
              <w:t>iglin</w:t>
            </w:r>
            <w:proofErr w:type="spellEnd"/>
            <w:r w:rsidRPr="00450465">
              <w:rPr>
                <w:rFonts w:ascii="Times New Roman" w:hAnsi="Times New Roman"/>
                <w:lang w:val="be-BY"/>
              </w:rPr>
              <w:t>@</w:t>
            </w:r>
            <w:r w:rsidRPr="00450465">
              <w:rPr>
                <w:rFonts w:ascii="Times New Roman" w:hAnsi="Times New Roman"/>
                <w:lang w:val="en-US"/>
              </w:rPr>
              <w:t>mail</w:t>
            </w:r>
            <w:r w:rsidRPr="00450465">
              <w:rPr>
                <w:rFonts w:ascii="Times New Roman" w:hAnsi="Times New Roman"/>
                <w:lang w:val="be-BY"/>
              </w:rPr>
              <w:t>.</w:t>
            </w:r>
            <w:proofErr w:type="spellStart"/>
            <w:r w:rsidRPr="0045046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  <w:lang w:val="be-BY"/>
              </w:rPr>
              <w:t xml:space="preserve">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92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450465">
              <w:rPr>
                <w:rFonts w:ascii="Times New Roman" w:hAnsi="Times New Roman"/>
                <w:lang w:val="en-US"/>
              </w:rPr>
              <w:t xml:space="preserve">    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</w:tcPr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  <w:lang w:val="be-BY"/>
              </w:rPr>
              <w:t>ТУРБАСЛИНСКИЙ СЕЛЬСОВЕТ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ИГЛИНСКИЙ РАЙОН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РЕСПУБЛИКИ БАШКОРТОСТАН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</w:rPr>
              <w:t xml:space="preserve">452414, с. </w:t>
            </w:r>
            <w:proofErr w:type="spellStart"/>
            <w:r w:rsidRPr="00450465">
              <w:rPr>
                <w:rFonts w:ascii="Times New Roman" w:hAnsi="Times New Roman"/>
              </w:rPr>
              <w:t>Турбаслы</w:t>
            </w:r>
            <w:proofErr w:type="spellEnd"/>
            <w:r w:rsidRPr="00450465">
              <w:rPr>
                <w:rFonts w:ascii="Times New Roman" w:hAnsi="Times New Roman"/>
                <w:lang w:val="be-BY"/>
              </w:rPr>
              <w:t>, ул. Центральная, 40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50465">
              <w:rPr>
                <w:rFonts w:ascii="Times New Roman" w:hAnsi="Times New Roman"/>
                <w:lang w:val="be-BY"/>
              </w:rPr>
              <w:t>тел. (34795) 2-71-99, факс 2-71-99</w:t>
            </w:r>
          </w:p>
          <w:p w:rsidR="007462A1" w:rsidRPr="00450465" w:rsidRDefault="007462A1" w:rsidP="00966DFA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  <w:lang w:val="be-BY"/>
              </w:rPr>
              <w:t xml:space="preserve">              </w:t>
            </w:r>
            <w:r w:rsidRPr="00450465">
              <w:rPr>
                <w:rFonts w:ascii="Times New Roman" w:hAnsi="Times New Roman"/>
                <w:lang w:val="en-US"/>
              </w:rPr>
              <w:t>e</w:t>
            </w:r>
            <w:r w:rsidRPr="00450465">
              <w:rPr>
                <w:rFonts w:ascii="Times New Roman" w:hAnsi="Times New Roman"/>
              </w:rPr>
              <w:t>-</w:t>
            </w:r>
            <w:r w:rsidRPr="00450465">
              <w:rPr>
                <w:rFonts w:ascii="Times New Roman" w:hAnsi="Times New Roman"/>
                <w:lang w:val="en-US"/>
              </w:rPr>
              <w:t>mail</w:t>
            </w:r>
            <w:r w:rsidRPr="00450465">
              <w:rPr>
                <w:rFonts w:ascii="Times New Roman" w:hAnsi="Times New Roman"/>
              </w:rPr>
              <w:t xml:space="preserve">: </w:t>
            </w:r>
            <w:proofErr w:type="spellStart"/>
            <w:r w:rsidRPr="00450465">
              <w:rPr>
                <w:rFonts w:ascii="Times New Roman" w:hAnsi="Times New Roman"/>
                <w:lang w:val="en-US"/>
              </w:rPr>
              <w:t>turbasl</w:t>
            </w:r>
            <w:proofErr w:type="spellEnd"/>
            <w:r w:rsidRPr="00450465">
              <w:rPr>
                <w:rFonts w:ascii="Times New Roman" w:hAnsi="Times New Roman"/>
              </w:rPr>
              <w:t>_</w:t>
            </w:r>
            <w:proofErr w:type="spellStart"/>
            <w:r w:rsidRPr="00450465">
              <w:rPr>
                <w:rFonts w:ascii="Times New Roman" w:hAnsi="Times New Roman"/>
                <w:lang w:val="en-US"/>
              </w:rPr>
              <w:t>iglin</w:t>
            </w:r>
            <w:proofErr w:type="spellEnd"/>
            <w:r w:rsidRPr="00450465">
              <w:rPr>
                <w:rFonts w:ascii="Times New Roman" w:hAnsi="Times New Roman"/>
              </w:rPr>
              <w:t>@</w:t>
            </w:r>
            <w:r w:rsidRPr="00450465">
              <w:rPr>
                <w:rFonts w:ascii="Times New Roman" w:hAnsi="Times New Roman"/>
                <w:lang w:val="en-US"/>
              </w:rPr>
              <w:t>mail</w:t>
            </w:r>
            <w:r w:rsidRPr="00450465">
              <w:rPr>
                <w:rFonts w:ascii="Times New Roman" w:hAnsi="Times New Roman"/>
              </w:rPr>
              <w:t>.</w:t>
            </w:r>
            <w:proofErr w:type="spellStart"/>
            <w:r w:rsidRPr="0045046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7462A1" w:rsidRPr="00450465" w:rsidRDefault="007462A1" w:rsidP="007462A1">
      <w:pPr>
        <w:tabs>
          <w:tab w:val="left" w:pos="360"/>
          <w:tab w:val="left" w:pos="540"/>
          <w:tab w:val="left" w:pos="720"/>
        </w:tabs>
        <w:spacing w:after="0" w:line="360" w:lineRule="auto"/>
        <w:ind w:right="-339"/>
        <w:rPr>
          <w:rFonts w:ascii="Times New Roman" w:hAnsi="Times New Roman"/>
        </w:rPr>
      </w:pPr>
      <w:r w:rsidRPr="00450465">
        <w:rPr>
          <w:rFonts w:ascii="Times New Roman" w:hAnsi="Times New Roman"/>
        </w:rPr>
        <w:pict>
          <v:line id="_x0000_s1026" style="position:absolute;z-index:251660288;mso-position-horizontal-relative:text;mso-position-vertical-relative:text" from="-21.85pt,14.75pt" to="491.15pt,14.75pt" strokeweight="4.5pt">
            <v:stroke linestyle="thickThin"/>
          </v:line>
        </w:pict>
      </w:r>
    </w:p>
    <w:p w:rsidR="007462A1" w:rsidRPr="00450465" w:rsidRDefault="007462A1" w:rsidP="007462A1">
      <w:pPr>
        <w:tabs>
          <w:tab w:val="left" w:pos="5480"/>
        </w:tabs>
        <w:spacing w:after="0"/>
        <w:rPr>
          <w:rFonts w:ascii="Times New Roman" w:hAnsi="Times New Roman"/>
        </w:rPr>
      </w:pPr>
    </w:p>
    <w:p w:rsidR="007462A1" w:rsidRPr="00450465" w:rsidRDefault="007462A1" w:rsidP="007462A1">
      <w:pPr>
        <w:tabs>
          <w:tab w:val="left" w:pos="5480"/>
        </w:tabs>
        <w:spacing w:after="0"/>
        <w:rPr>
          <w:rFonts w:ascii="Times New Roman" w:eastAsia="MS Mincho" w:hAnsi="Times New Roman"/>
          <w:b/>
          <w:lang w:val="be-BY"/>
        </w:rPr>
      </w:pPr>
      <w:r w:rsidRPr="00450465">
        <w:rPr>
          <w:rFonts w:ascii="Times New Roman" w:eastAsia="MS Mincho" w:hAnsi="Times New Roman"/>
          <w:b/>
          <w:lang w:val="be-BY"/>
        </w:rPr>
        <w:t xml:space="preserve">                                                                                                                                </w:t>
      </w:r>
    </w:p>
    <w:p w:rsidR="007462A1" w:rsidRPr="00450465" w:rsidRDefault="007462A1" w:rsidP="007462A1">
      <w:pPr>
        <w:tabs>
          <w:tab w:val="left" w:pos="5480"/>
        </w:tabs>
        <w:spacing w:after="0"/>
        <w:rPr>
          <w:rFonts w:ascii="Times New Roman" w:eastAsia="MS Mincho" w:hAnsi="Times New Roman"/>
          <w:b/>
          <w:lang w:val="be-BY"/>
        </w:rPr>
      </w:pPr>
      <w:r w:rsidRPr="00450465">
        <w:rPr>
          <w:rFonts w:ascii="Times New Roman" w:eastAsia="MS Mincho" w:hAnsi="Times New Roman"/>
          <w:b/>
          <w:lang w:val="be-BY"/>
        </w:rPr>
        <w:t xml:space="preserve">                 Ҡарар                                                                         </w:t>
      </w:r>
      <w:r>
        <w:rPr>
          <w:rFonts w:ascii="Times New Roman" w:eastAsia="MS Mincho" w:hAnsi="Times New Roman"/>
          <w:b/>
          <w:lang w:val="be-BY"/>
        </w:rPr>
        <w:t xml:space="preserve">         </w:t>
      </w:r>
      <w:r w:rsidRPr="00450465">
        <w:rPr>
          <w:rFonts w:ascii="Times New Roman" w:eastAsia="MS Mincho" w:hAnsi="Times New Roman"/>
          <w:b/>
          <w:lang w:val="be-BY"/>
        </w:rPr>
        <w:t xml:space="preserve">      Постановление </w:t>
      </w:r>
    </w:p>
    <w:p w:rsidR="007462A1" w:rsidRPr="00450465" w:rsidRDefault="007462A1" w:rsidP="007462A1">
      <w:pPr>
        <w:tabs>
          <w:tab w:val="left" w:pos="5480"/>
        </w:tabs>
        <w:rPr>
          <w:rFonts w:ascii="Times New Roman" w:eastAsia="MS Mincho" w:hAnsi="Times New Roman"/>
          <w:b/>
          <w:lang w:val="be-BY"/>
        </w:rPr>
      </w:pPr>
      <w:r w:rsidRPr="00450465">
        <w:rPr>
          <w:rFonts w:ascii="Times New Roman" w:eastAsia="MS Mincho" w:hAnsi="Times New Roman"/>
          <w:b/>
          <w:lang w:val="be-BY"/>
        </w:rPr>
        <w:t xml:space="preserve">         </w:t>
      </w:r>
    </w:p>
    <w:p w:rsidR="007462A1" w:rsidRPr="00450465" w:rsidRDefault="007462A1" w:rsidP="007462A1">
      <w:pPr>
        <w:pStyle w:val="2"/>
        <w:spacing w:after="0" w:line="240" w:lineRule="auto"/>
        <w:ind w:left="-142" w:right="-144" w:firstLine="709"/>
        <w:jc w:val="both"/>
        <w:rPr>
          <w:sz w:val="22"/>
          <w:szCs w:val="22"/>
          <w:lang w:val="tt-RU"/>
        </w:rPr>
      </w:pPr>
      <w:r w:rsidRPr="00450465">
        <w:rPr>
          <w:sz w:val="22"/>
          <w:szCs w:val="22"/>
        </w:rPr>
        <w:t xml:space="preserve">«23» декабрь 2015 </w:t>
      </w:r>
      <w:proofErr w:type="spellStart"/>
      <w:r w:rsidRPr="00450465">
        <w:rPr>
          <w:sz w:val="22"/>
          <w:szCs w:val="22"/>
        </w:rPr>
        <w:t>й</w:t>
      </w:r>
      <w:proofErr w:type="spellEnd"/>
      <w:r w:rsidRPr="00450465">
        <w:rPr>
          <w:sz w:val="22"/>
          <w:szCs w:val="22"/>
        </w:rPr>
        <w:t xml:space="preserve">.               </w:t>
      </w:r>
      <w:r>
        <w:rPr>
          <w:sz w:val="22"/>
          <w:szCs w:val="22"/>
        </w:rPr>
        <w:t xml:space="preserve">    </w:t>
      </w:r>
      <w:r w:rsidRPr="00450465">
        <w:rPr>
          <w:sz w:val="22"/>
          <w:szCs w:val="22"/>
        </w:rPr>
        <w:t xml:space="preserve">        </w:t>
      </w:r>
      <w:r w:rsidRPr="00450465">
        <w:rPr>
          <w:sz w:val="22"/>
          <w:szCs w:val="22"/>
          <w:lang w:val="tt-RU"/>
        </w:rPr>
        <w:t xml:space="preserve">№ 33                   </w:t>
      </w:r>
      <w:r w:rsidRPr="00450465">
        <w:rPr>
          <w:sz w:val="22"/>
          <w:szCs w:val="22"/>
        </w:rPr>
        <w:t xml:space="preserve">        «23»</w:t>
      </w:r>
      <w:r w:rsidRPr="00450465">
        <w:rPr>
          <w:sz w:val="22"/>
          <w:szCs w:val="22"/>
          <w:lang w:val="tt-RU"/>
        </w:rPr>
        <w:t xml:space="preserve"> декабря</w:t>
      </w:r>
      <w:r w:rsidRPr="00450465">
        <w:rPr>
          <w:sz w:val="22"/>
          <w:szCs w:val="22"/>
        </w:rPr>
        <w:t xml:space="preserve">  2</w:t>
      </w:r>
      <w:r w:rsidRPr="00450465">
        <w:rPr>
          <w:sz w:val="22"/>
          <w:szCs w:val="22"/>
          <w:lang w:val="tt-RU"/>
        </w:rPr>
        <w:t>0</w:t>
      </w:r>
      <w:r w:rsidRPr="00450465">
        <w:rPr>
          <w:sz w:val="22"/>
          <w:szCs w:val="22"/>
        </w:rPr>
        <w:t>15</w:t>
      </w:r>
      <w:r w:rsidRPr="00450465">
        <w:rPr>
          <w:sz w:val="22"/>
          <w:szCs w:val="22"/>
          <w:lang w:val="tt-RU"/>
        </w:rPr>
        <w:t xml:space="preserve"> г.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lang w:val="tt-RU"/>
        </w:rPr>
      </w:pPr>
      <w:r w:rsidRPr="00450465">
        <w:rPr>
          <w:rFonts w:ascii="Times New Roman" w:hAnsi="Times New Roman"/>
          <w:b/>
          <w:lang w:val="tt-RU"/>
        </w:rPr>
        <w:t xml:space="preserve"> 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lang w:val="tt-RU"/>
        </w:rPr>
      </w:pP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450465">
        <w:rPr>
          <w:rFonts w:ascii="Times New Roman" w:hAnsi="Times New Roman"/>
          <w:b/>
        </w:rPr>
        <w:t>Об утверждении Перечня главных администраторов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450465">
        <w:rPr>
          <w:rFonts w:ascii="Times New Roman" w:hAnsi="Times New Roman"/>
          <w:b/>
        </w:rPr>
        <w:t xml:space="preserve"> доходов бюджета сельского поселения Турбаслинский 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450465">
        <w:rPr>
          <w:rFonts w:ascii="Times New Roman" w:hAnsi="Times New Roman"/>
          <w:b/>
        </w:rPr>
        <w:t xml:space="preserve">сельсовет муниципального района </w:t>
      </w:r>
      <w:proofErr w:type="spellStart"/>
      <w:r w:rsidRPr="00450465">
        <w:rPr>
          <w:rFonts w:ascii="Times New Roman" w:hAnsi="Times New Roman"/>
          <w:b/>
        </w:rPr>
        <w:t>Иглинский</w:t>
      </w:r>
      <w:proofErr w:type="spellEnd"/>
      <w:r w:rsidRPr="00450465">
        <w:rPr>
          <w:rFonts w:ascii="Times New Roman" w:hAnsi="Times New Roman"/>
          <w:b/>
        </w:rPr>
        <w:t xml:space="preserve"> район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450465">
        <w:rPr>
          <w:rFonts w:ascii="Times New Roman" w:hAnsi="Times New Roman"/>
          <w:b/>
        </w:rPr>
        <w:t xml:space="preserve"> Республики Башкортостан, а также состава закрепляемых за ними кодов классификации доходов бюджета </w:t>
      </w:r>
    </w:p>
    <w:p w:rsidR="007462A1" w:rsidRPr="00450465" w:rsidRDefault="007462A1" w:rsidP="007462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462A1" w:rsidRPr="00450465" w:rsidRDefault="007462A1" w:rsidP="007462A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</w:rPr>
      </w:pPr>
      <w:r w:rsidRPr="00450465">
        <w:rPr>
          <w:rFonts w:ascii="Times New Roman" w:hAnsi="Times New Roman"/>
        </w:rPr>
        <w:t>В соответствии со статьей 20 Бюджетного кодекса Российской Федерации постановляю: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50465">
        <w:rPr>
          <w:rFonts w:ascii="Times New Roman" w:hAnsi="Times New Roman"/>
        </w:rPr>
        <w:t xml:space="preserve">1. Утвердить прилагаемый Перечень главных администраторов доходов бюджета сельского поселения Турбаслинский сельсовет муниципального района </w:t>
      </w:r>
      <w:proofErr w:type="spellStart"/>
      <w:r w:rsidRPr="00450465">
        <w:rPr>
          <w:rFonts w:ascii="Times New Roman" w:hAnsi="Times New Roman"/>
        </w:rPr>
        <w:t>Иглинский</w:t>
      </w:r>
      <w:proofErr w:type="spellEnd"/>
      <w:r w:rsidRPr="00450465">
        <w:rPr>
          <w:rFonts w:ascii="Times New Roman" w:hAnsi="Times New Roman"/>
        </w:rPr>
        <w:t xml:space="preserve"> район Республики Башкортостан, закрепляемых за ними видов (подвидов) доходов бюджета сельского поселения Турбаслинский сельсовет муниципального района </w:t>
      </w:r>
      <w:proofErr w:type="spellStart"/>
      <w:r w:rsidRPr="00450465">
        <w:rPr>
          <w:rFonts w:ascii="Times New Roman" w:hAnsi="Times New Roman"/>
        </w:rPr>
        <w:t>Иглинский</w:t>
      </w:r>
      <w:proofErr w:type="spellEnd"/>
      <w:r w:rsidRPr="00450465">
        <w:rPr>
          <w:rFonts w:ascii="Times New Roman" w:hAnsi="Times New Roman"/>
        </w:rPr>
        <w:t xml:space="preserve"> район Республики Башкортостан.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450465">
        <w:rPr>
          <w:rFonts w:ascii="Times New Roman" w:hAnsi="Times New Roman"/>
        </w:rPr>
        <w:t xml:space="preserve">2. Обеспечить доведение изменений в Перечень главных администраторов доходов сельского поселения Турбаслинский сельсовет муниципального района </w:t>
      </w:r>
      <w:proofErr w:type="spellStart"/>
      <w:r w:rsidRPr="00450465">
        <w:rPr>
          <w:rFonts w:ascii="Times New Roman" w:hAnsi="Times New Roman"/>
        </w:rPr>
        <w:t>Иглинский</w:t>
      </w:r>
      <w:proofErr w:type="spellEnd"/>
      <w:r w:rsidRPr="00450465">
        <w:rPr>
          <w:rFonts w:ascii="Times New Roman" w:hAnsi="Times New Roman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  <w:r w:rsidRPr="00450465">
        <w:rPr>
          <w:rFonts w:ascii="Times New Roman" w:hAnsi="Times New Roman"/>
          <w:i/>
        </w:rPr>
        <w:t xml:space="preserve"> </w:t>
      </w:r>
      <w:r w:rsidRPr="00450465">
        <w:rPr>
          <w:rFonts w:ascii="Times New Roman" w:hAnsi="Times New Roman"/>
        </w:rPr>
        <w:tab/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450465">
        <w:rPr>
          <w:rFonts w:ascii="Times New Roman" w:hAnsi="Times New Roman"/>
        </w:rPr>
        <w:t>3. </w:t>
      </w:r>
      <w:proofErr w:type="gramStart"/>
      <w:r w:rsidRPr="00450465">
        <w:rPr>
          <w:rFonts w:ascii="Times New Roman" w:hAnsi="Times New Roman"/>
        </w:rPr>
        <w:t>Контроль за</w:t>
      </w:r>
      <w:proofErr w:type="gramEnd"/>
      <w:r w:rsidRPr="00450465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7462A1" w:rsidRPr="00450465" w:rsidRDefault="007462A1" w:rsidP="007462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450465">
        <w:rPr>
          <w:rFonts w:ascii="Times New Roman" w:hAnsi="Times New Roman"/>
        </w:rPr>
        <w:t>4. Настоящий приказ вступает в силу с 1 января 2016 года.</w:t>
      </w:r>
    </w:p>
    <w:p w:rsidR="007462A1" w:rsidRPr="00450465" w:rsidRDefault="007462A1" w:rsidP="007462A1">
      <w:pPr>
        <w:spacing w:after="0"/>
        <w:ind w:firstLine="708"/>
        <w:rPr>
          <w:rFonts w:ascii="Times New Roman" w:hAnsi="Times New Roman"/>
        </w:rPr>
      </w:pPr>
    </w:p>
    <w:p w:rsidR="007462A1" w:rsidRPr="00450465" w:rsidRDefault="007462A1" w:rsidP="007462A1">
      <w:pPr>
        <w:ind w:firstLine="708"/>
        <w:rPr>
          <w:rFonts w:ascii="Times New Roman" w:hAnsi="Times New Roman"/>
        </w:rPr>
      </w:pPr>
    </w:p>
    <w:p w:rsidR="007462A1" w:rsidRPr="00450465" w:rsidRDefault="007462A1" w:rsidP="007462A1">
      <w:pPr>
        <w:ind w:firstLine="708"/>
        <w:rPr>
          <w:rFonts w:ascii="Times New Roman" w:hAnsi="Times New Roman"/>
        </w:rPr>
      </w:pPr>
      <w:r w:rsidRPr="00450465">
        <w:rPr>
          <w:rFonts w:ascii="Times New Roman" w:hAnsi="Times New Roman"/>
        </w:rPr>
        <w:t xml:space="preserve">Глава сельского поселения                               Б.Х. Кадырбаев      </w:t>
      </w:r>
    </w:p>
    <w:p w:rsidR="007462A1" w:rsidRPr="00450465" w:rsidRDefault="007462A1" w:rsidP="007462A1">
      <w:pPr>
        <w:rPr>
          <w:rFonts w:ascii="Times New Roman" w:hAnsi="Times New Roman"/>
          <w:i/>
        </w:rPr>
      </w:pPr>
    </w:p>
    <w:p w:rsidR="007462A1" w:rsidRDefault="007462A1" w:rsidP="007462A1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/>
        </w:rPr>
      </w:pPr>
    </w:p>
    <w:p w:rsidR="007462A1" w:rsidRDefault="007462A1" w:rsidP="007462A1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/>
        </w:rPr>
      </w:pPr>
    </w:p>
    <w:p w:rsidR="007462A1" w:rsidRDefault="007462A1" w:rsidP="007462A1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/>
        </w:rPr>
      </w:pPr>
    </w:p>
    <w:p w:rsidR="007462A1" w:rsidRDefault="007462A1" w:rsidP="007462A1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/>
        </w:rPr>
      </w:pPr>
    </w:p>
    <w:p w:rsidR="007462A1" w:rsidRDefault="007462A1" w:rsidP="007462A1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/>
        </w:rPr>
      </w:pPr>
    </w:p>
    <w:p w:rsidR="007462A1" w:rsidRPr="00450465" w:rsidRDefault="007462A1" w:rsidP="007462A1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/>
        </w:rPr>
      </w:pPr>
      <w:r w:rsidRPr="00450465">
        <w:rPr>
          <w:rFonts w:ascii="Times New Roman" w:hAnsi="Times New Roman"/>
        </w:rPr>
        <w:lastRenderedPageBreak/>
        <w:t>Утвержден</w:t>
      </w:r>
    </w:p>
    <w:p w:rsidR="007462A1" w:rsidRPr="00450465" w:rsidRDefault="007462A1" w:rsidP="007462A1">
      <w:pPr>
        <w:tabs>
          <w:tab w:val="left" w:pos="3780"/>
          <w:tab w:val="left" w:pos="9638"/>
        </w:tabs>
        <w:spacing w:after="0" w:line="240" w:lineRule="auto"/>
        <w:ind w:left="5103" w:right="-79"/>
        <w:rPr>
          <w:rFonts w:ascii="Times New Roman" w:hAnsi="Times New Roman"/>
        </w:rPr>
      </w:pPr>
      <w:r w:rsidRPr="00450465">
        <w:rPr>
          <w:rFonts w:ascii="Times New Roman" w:hAnsi="Times New Roman"/>
        </w:rPr>
        <w:t xml:space="preserve">постановлением администрации сельского поселения Турбаслинский _  сельсовет муниципального района </w:t>
      </w:r>
      <w:proofErr w:type="spellStart"/>
      <w:r w:rsidRPr="00450465">
        <w:rPr>
          <w:rFonts w:ascii="Times New Roman" w:hAnsi="Times New Roman"/>
        </w:rPr>
        <w:t>Иглинский</w:t>
      </w:r>
      <w:proofErr w:type="spellEnd"/>
      <w:r w:rsidRPr="00450465">
        <w:rPr>
          <w:rFonts w:ascii="Times New Roman" w:hAnsi="Times New Roman"/>
        </w:rPr>
        <w:t xml:space="preserve"> район Республики Башкортостан </w:t>
      </w:r>
    </w:p>
    <w:p w:rsidR="007462A1" w:rsidRPr="00450465" w:rsidRDefault="007462A1" w:rsidP="007462A1">
      <w:pPr>
        <w:tabs>
          <w:tab w:val="left" w:pos="9638"/>
        </w:tabs>
        <w:spacing w:line="240" w:lineRule="auto"/>
        <w:ind w:left="5103" w:right="-79"/>
        <w:rPr>
          <w:rFonts w:ascii="Times New Roman" w:hAnsi="Times New Roman"/>
        </w:rPr>
      </w:pPr>
      <w:r w:rsidRPr="00450465">
        <w:rPr>
          <w:rFonts w:ascii="Times New Roman" w:hAnsi="Times New Roman"/>
        </w:rPr>
        <w:t>от «23» декабря 2015 года № 33</w:t>
      </w:r>
    </w:p>
    <w:p w:rsidR="007462A1" w:rsidRPr="00450465" w:rsidRDefault="007462A1" w:rsidP="007462A1">
      <w:pPr>
        <w:jc w:val="center"/>
        <w:rPr>
          <w:rFonts w:ascii="Times New Roman" w:hAnsi="Times New Roman"/>
        </w:rPr>
      </w:pPr>
      <w:r w:rsidRPr="00450465">
        <w:rPr>
          <w:rFonts w:ascii="Times New Roman" w:hAnsi="Times New Roman"/>
          <w:i/>
        </w:rPr>
        <w:t xml:space="preserve">                                               </w:t>
      </w:r>
    </w:p>
    <w:p w:rsidR="007462A1" w:rsidRPr="00450465" w:rsidRDefault="007462A1" w:rsidP="007462A1">
      <w:pPr>
        <w:spacing w:after="0"/>
        <w:jc w:val="center"/>
        <w:rPr>
          <w:rFonts w:ascii="Times New Roman" w:hAnsi="Times New Roman"/>
        </w:rPr>
      </w:pPr>
      <w:r w:rsidRPr="00450465">
        <w:rPr>
          <w:rFonts w:ascii="Times New Roman" w:hAnsi="Times New Roman"/>
        </w:rPr>
        <w:t>Перечень главных администраторов</w:t>
      </w:r>
    </w:p>
    <w:p w:rsidR="007462A1" w:rsidRPr="00450465" w:rsidRDefault="007462A1" w:rsidP="007462A1">
      <w:pPr>
        <w:spacing w:after="0"/>
        <w:jc w:val="center"/>
        <w:rPr>
          <w:rFonts w:ascii="Times New Roman" w:hAnsi="Times New Roman"/>
        </w:rPr>
      </w:pPr>
      <w:r w:rsidRPr="00450465">
        <w:rPr>
          <w:rFonts w:ascii="Times New Roman" w:hAnsi="Times New Roman"/>
        </w:rPr>
        <w:t xml:space="preserve"> доходов бюджета сельского поселения Турбаслинский сельсовет муниципального района </w:t>
      </w:r>
      <w:proofErr w:type="spellStart"/>
      <w:r w:rsidRPr="00450465">
        <w:rPr>
          <w:rFonts w:ascii="Times New Roman" w:hAnsi="Times New Roman"/>
        </w:rPr>
        <w:t>Иглинский</w:t>
      </w:r>
      <w:proofErr w:type="spellEnd"/>
      <w:r w:rsidRPr="00450465">
        <w:rPr>
          <w:rFonts w:ascii="Times New Roman" w:hAnsi="Times New Roman"/>
        </w:rPr>
        <w:t xml:space="preserve"> район Республики Башкортостан, а также состава закрепляемых за ними кодов классификации доходов бюджета.</w:t>
      </w:r>
    </w:p>
    <w:tbl>
      <w:tblPr>
        <w:tblW w:w="9924" w:type="dxa"/>
        <w:jc w:val="center"/>
        <w:tblInd w:w="-176" w:type="dxa"/>
        <w:tblLayout w:type="fixed"/>
        <w:tblLook w:val="0000"/>
      </w:tblPr>
      <w:tblGrid>
        <w:gridCol w:w="14"/>
        <w:gridCol w:w="1404"/>
        <w:gridCol w:w="14"/>
        <w:gridCol w:w="3247"/>
        <w:gridCol w:w="14"/>
        <w:gridCol w:w="5231"/>
      </w:tblGrid>
      <w:tr w:rsidR="007462A1" w:rsidRPr="00450465" w:rsidTr="00966DFA">
        <w:trPr>
          <w:gridBefore w:val="1"/>
          <w:wBefore w:w="14" w:type="dxa"/>
          <w:cantSplit/>
          <w:trHeight w:val="459"/>
          <w:jc w:val="center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50465">
              <w:rPr>
                <w:rFonts w:ascii="Times New Roman" w:hAnsi="Times New Roman"/>
                <w:bCs/>
              </w:rPr>
              <w:t xml:space="preserve">Код бюджетной классификации Российской Федерации  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50465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7462A1" w:rsidRPr="00450465" w:rsidTr="00966DFA">
        <w:trPr>
          <w:gridBefore w:val="1"/>
          <w:wBefore w:w="14" w:type="dxa"/>
          <w:cantSplit/>
          <w:trHeight w:val="136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ind w:left="-150"/>
              <w:jc w:val="center"/>
              <w:rPr>
                <w:rFonts w:ascii="Times New Roman" w:hAnsi="Times New Roman"/>
                <w:bCs/>
              </w:rPr>
            </w:pPr>
            <w:r w:rsidRPr="00450465">
              <w:rPr>
                <w:rFonts w:ascii="Times New Roman" w:hAnsi="Times New Roman"/>
                <w:bCs/>
              </w:rPr>
              <w:t xml:space="preserve">главного </w:t>
            </w:r>
            <w:proofErr w:type="spellStart"/>
            <w:r w:rsidRPr="00450465">
              <w:rPr>
                <w:rFonts w:ascii="Times New Roman" w:hAnsi="Times New Roman"/>
                <w:bCs/>
              </w:rPr>
              <w:t>админис</w:t>
            </w:r>
            <w:proofErr w:type="gramStart"/>
            <w:r w:rsidRPr="00450465">
              <w:rPr>
                <w:rFonts w:ascii="Times New Roman" w:hAnsi="Times New Roman"/>
                <w:bCs/>
              </w:rPr>
              <w:t>т</w:t>
            </w:r>
            <w:proofErr w:type="spellEnd"/>
            <w:r w:rsidRPr="00450465">
              <w:rPr>
                <w:rFonts w:ascii="Times New Roman" w:hAnsi="Times New Roman"/>
                <w:bCs/>
              </w:rPr>
              <w:t>-</w:t>
            </w:r>
            <w:proofErr w:type="gramEnd"/>
            <w:r w:rsidRPr="00450465">
              <w:rPr>
                <w:rFonts w:ascii="Times New Roman" w:hAnsi="Times New Roman"/>
                <w:bCs/>
              </w:rPr>
              <w:t xml:space="preserve">                      </w:t>
            </w:r>
            <w:proofErr w:type="spellStart"/>
            <w:r w:rsidRPr="00450465">
              <w:rPr>
                <w:rFonts w:ascii="Times New Roman" w:hAnsi="Times New Roman"/>
                <w:bCs/>
              </w:rPr>
              <w:t>ратора</w:t>
            </w:r>
            <w:proofErr w:type="spellEnd"/>
            <w:r w:rsidRPr="00450465">
              <w:rPr>
                <w:rFonts w:ascii="Times New Roman" w:hAnsi="Times New Roman"/>
                <w:bCs/>
              </w:rPr>
              <w:t xml:space="preserve"> доходов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50465">
              <w:rPr>
                <w:rFonts w:ascii="Times New Roman" w:hAnsi="Times New Roman"/>
                <w:bCs/>
              </w:rPr>
              <w:t xml:space="preserve">вида, подвида доходов бюджета 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7462A1" w:rsidRPr="00450465" w:rsidTr="00966DFA">
        <w:trPr>
          <w:gridBefore w:val="1"/>
          <w:wBefore w:w="14" w:type="dxa"/>
          <w:cantSplit/>
          <w:trHeight w:val="365"/>
          <w:tblHeader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504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504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2A1" w:rsidRPr="00450465" w:rsidRDefault="007462A1" w:rsidP="00966D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50465">
              <w:rPr>
                <w:rFonts w:ascii="Times New Roman" w:hAnsi="Times New Roman"/>
                <w:bCs/>
              </w:rPr>
              <w:t>3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 1 08 04020 01 1000 110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450465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 1 08 04020 01 4000 110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 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50465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450465">
              <w:rPr>
                <w:rFonts w:ascii="Times New Roman" w:hAnsi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50465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450465">
              <w:rPr>
                <w:rFonts w:ascii="Times New Roman" w:hAnsi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1 16 32000 10 0000 140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1 16 90050 10 0000 140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117 14030 10 0000 180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2 02 01003 10 0000 151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2 02 02077 10 0007 151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45046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5046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2 02 02088 10 0001 151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2 02 02089 10 0001 151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2 02 02089 10 0002 151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2 02 02089 10 0004 151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Субсидии бюджетам сельских поселений </w:t>
            </w:r>
            <w:proofErr w:type="gramStart"/>
            <w:r w:rsidRPr="00450465">
              <w:rPr>
                <w:rFonts w:ascii="Times New Roman" w:hAnsi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50465">
              <w:rPr>
                <w:rFonts w:ascii="Times New Roman" w:hAnsi="Times New Roman"/>
              </w:rPr>
              <w:t xml:space="preserve"> средств бюджетов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202 02102 10 0007 151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2 02 02109 10 0000 151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202 02999 10 7101 151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45046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50465">
              <w:rPr>
                <w:rFonts w:ascii="Times New Roman" w:hAnsi="Times New Roman"/>
              </w:rPr>
              <w:t xml:space="preserve"> расходных обязательств)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202 02999 10 7104 151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202 02999 10 7105 151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45046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50465">
              <w:rPr>
                <w:rFonts w:ascii="Times New Roman" w:hAnsi="Times New Roman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202 02999 10 7111 151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субсидии бюджетам сельских поселений (субсидии на финансирование комплексной программы Республики Башкортостан «Энергосбережение и повышение энергетической эффективности»)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202 02999 10 7112 151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субсидии бюджетам сельских поселений (субсидии на реализацию республиканской целевой программы «Модернизация систем наружного освещения населенных пунктов Республики Башкортостан»)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2 02 02999 10 7113 151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субсидии бюджетам сельских поселений (субсидии на</w:t>
            </w:r>
            <w:r w:rsidRPr="00450465">
              <w:rPr>
                <w:rFonts w:ascii="Times New Roman" w:hAnsi="Times New Roman"/>
                <w:snapToGrid w:val="0"/>
              </w:rPr>
              <w:t xml:space="preserve">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 w:rsidRPr="00450465">
              <w:rPr>
                <w:rFonts w:ascii="Times New Roman" w:hAnsi="Times New Roman"/>
              </w:rPr>
              <w:t>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2 02 02999 10 7115 151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45046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50465">
              <w:rPr>
                <w:rFonts w:ascii="Times New Roman" w:hAnsi="Times New Roman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A1" w:rsidRPr="00450465" w:rsidRDefault="007462A1" w:rsidP="00966DFA">
            <w:pPr>
              <w:spacing w:after="0"/>
              <w:ind w:left="-93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2A1" w:rsidRPr="00450465" w:rsidRDefault="007462A1" w:rsidP="00966DFA">
            <w:pPr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2 02 02999 10 </w:t>
            </w:r>
            <w:r w:rsidRPr="00450465">
              <w:rPr>
                <w:rFonts w:ascii="Times New Roman" w:hAnsi="Times New Roman"/>
                <w:lang w:val="en-US"/>
              </w:rPr>
              <w:t>71</w:t>
            </w:r>
            <w:r w:rsidRPr="00450465">
              <w:rPr>
                <w:rFonts w:ascii="Times New Roman" w:hAnsi="Times New Roman"/>
              </w:rPr>
              <w:t>32 151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2A1" w:rsidRPr="00450465" w:rsidRDefault="007462A1" w:rsidP="00966DFA">
            <w:pPr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Прочие субсидии </w:t>
            </w:r>
            <w:r w:rsidRPr="00450465">
              <w:rPr>
                <w:rFonts w:ascii="Times New Roman" w:hAnsi="Times New Roman"/>
                <w:snapToGrid w:val="0"/>
              </w:rPr>
              <w:t>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2 02 03014 10 0000 151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Субвенции бюджетам сельских поселений на поощрение лучших учителей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2 02 0301510 0000 151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2 02 04014 10 7301 151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 2 02 04025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2 02 04999 10 7501 151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2 02 04999 10 7502 151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(межбюджетные трансферты на благоустройство территорий населенных пунктов сельских поселений)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  2 02 04999 10 7503 151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  2 02 04999 10 7504 151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2 02 04999 10 7505 151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(межбюджетные трансферты на премирование победителей конкурса «Лучший многоквартирный дом»)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2 02 09054 10 7301 151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904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 2 08 05000 10 0000 180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2 18 05010 10 0000 151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2 18 05010 10 0000 180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2 18 05020 10 0000 180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2 18 05030 10 0000 180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462A1" w:rsidRPr="00450465" w:rsidTr="00966DFA">
        <w:tblPrEx>
          <w:jc w:val="left"/>
          <w:tblLook w:val="04A0"/>
        </w:tblPrEx>
        <w:trPr>
          <w:trHeight w:val="439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 xml:space="preserve">219 05000 10 0000 151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1" w:rsidRPr="00450465" w:rsidRDefault="007462A1" w:rsidP="00966DF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50465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62A1" w:rsidRPr="00450465" w:rsidRDefault="007462A1" w:rsidP="007462A1">
      <w:pPr>
        <w:spacing w:after="0" w:line="240" w:lineRule="auto"/>
        <w:rPr>
          <w:rFonts w:ascii="Times New Roman" w:hAnsi="Times New Roman"/>
        </w:rPr>
      </w:pPr>
    </w:p>
    <w:p w:rsidR="00B90618" w:rsidRDefault="00B90618"/>
    <w:sectPr w:rsidR="00B90618" w:rsidSect="00D3184B">
      <w:footerReference w:type="default" r:id="rId5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1B" w:rsidRDefault="007462A1">
    <w:pPr>
      <w:pStyle w:val="a3"/>
      <w:jc w:val="right"/>
    </w:pPr>
    <w:r>
      <w:t xml:space="preserve"> </w:t>
    </w:r>
  </w:p>
  <w:p w:rsidR="00FE5B1B" w:rsidRDefault="007462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2A1"/>
    <w:rsid w:val="00694688"/>
    <w:rsid w:val="006C58F0"/>
    <w:rsid w:val="007462A1"/>
    <w:rsid w:val="008E7B69"/>
    <w:rsid w:val="00B90618"/>
    <w:rsid w:val="00D416CB"/>
    <w:rsid w:val="00D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4 Знак"/>
    <w:basedOn w:val="a"/>
    <w:link w:val="20"/>
    <w:unhideWhenUsed/>
    <w:rsid w:val="007462A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aliases w:val=" Знак4 Знак Знак"/>
    <w:basedOn w:val="a0"/>
    <w:link w:val="2"/>
    <w:rsid w:val="0074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462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62A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9626</Characters>
  <Application>Microsoft Office Word</Application>
  <DocSecurity>0</DocSecurity>
  <Lines>80</Lines>
  <Paragraphs>22</Paragraphs>
  <ScaleCrop>false</ScaleCrop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2015-12-28T11:03:00Z</dcterms:created>
  <dcterms:modified xsi:type="dcterms:W3CDTF">2015-12-28T11:03:00Z</dcterms:modified>
</cp:coreProperties>
</file>